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0"/><w:spacing w:after="0" w:before="0" w:line="100" w:lineRule="atLeast"/><w:jc w:val="center"/></w:pPr><w:r><w:rPr><w:rFonts w:ascii="Times New Roman" w:cs="Times New Roman" w:eastAsia="Times New Roman" w:hAnsi="Times New Roman"/><w:b/><w:sz w:val="28"/><w:szCs w:val="28"/></w:rPr><w:t xml:space="preserve">ПАМЯТКА РАБОТОДАТЕЛЮ (страхователю), </w:t></w:r></w:p><w:p><w:pPr><w:pStyle w:val="style0"/><w:spacing w:after="0" w:before="0" w:line="100" w:lineRule="atLeast"/><w:jc w:val="center"/></w:pPr><w:r><w:rPr><w:rFonts w:ascii="Times New Roman" w:cs="Times New Roman" w:eastAsia="Times New Roman" w:hAnsi="Times New Roman"/><w:b/><w:sz w:val="28"/><w:szCs w:val="28"/></w:rPr><w:t>с которым в трудовых отношениях состоят лица возраста 65 лет и старше</w:t></w:r></w:p><w:p><w:pPr><w:pStyle w:val="style0"/><w:spacing w:after="0" w:before="0" w:line="100" w:lineRule="atLeast"/><w:jc w:val="both"/></w:pPr><w:r><w:rPr><w:rFonts w:ascii="Times New Roman" w:cs="Times New Roman" w:eastAsia="Times New Roman" w:hAnsi="Times New Roman"/><w:sz w:val="28"/><w:szCs w:val="28"/></w:rPr></w:r></w:p><w:p><w:pPr><w:pStyle w:val="style0"/><w:spacing w:after="0" w:before="0" w:line="100" w:lineRule="atLeast"/><w:ind w:firstLine="708" w:left="0" w:right="0"/><w:jc w:val="both"/></w:pPr><w:r><w:rPr><w:rFonts w:ascii="Times New Roman" w:cs="Times New Roman" w:eastAsia="Times New Roman" w:hAnsi="Times New Roman"/><w:sz w:val="28"/><w:szCs w:val="28"/></w:rPr><w:t xml:space="preserve">В целях минимизации риска заражения новой коронавирусной инфекцией и недопущения распространения указанной вирусной инфекции на территории Российской Федерации, в связи с принятием постановлений Правительства Российской Федерации от 16.04.2020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</w:t></w:r><w:r><w:rPr><w:rFonts w:ascii="Times New Roman" w:cs="Times New Roman" w:eastAsia="Times New Roman" w:hAnsi="Times New Roman"/><w:b/><w:sz w:val="28"/><w:szCs w:val="28"/></w:rPr><w:t>работодателю (страхователю) необходимо</w:t></w:r><w:r><w:rPr><w:rFonts w:ascii="Times New Roman" w:cs="Times New Roman" w:eastAsia="Times New Roman" w:hAnsi="Times New Roman"/><w:sz w:val="28"/><w:szCs w:val="28"/></w:rPr><w:t>:</w:t></w:r></w:p><w:p><w:pPr><w:pStyle w:val="style0"/><w:keepNext/><w:keepLines w:val="false"/><w:widowControl/><w:numPr><w:ilvl w:val="0"/><w:numId w:val="3"/></w:numPr><w:pBdr></w:pBdr><w:shd w:fill="FFFFFF" w:val="clear"/><w:spacing w:after="0" w:before="0" w:line="256" w:lineRule="auto"/><w:ind w:hanging="360" w:left="720" w:right="0"/><w:jc w:val="both"/></w:pP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и режима изоляции, обязать сотрудников не покидать места пребывания (дом, квартира).</w:t></w:r></w:p><w:p><w:pPr><w:pStyle w:val="style0"/><w:keepNext/><w:keepLines w:val="false"/><w:widowControl/><w:numPr><w:ilvl w:val="0"/><w:numId w:val="3"/></w:numPr><w:pBdr></w:pBdr><w:shd w:fill="FFFFFF" w:val="clear"/><w:spacing w:after="0" w:before="0" w:line="100" w:lineRule="atLeast"/><w:ind w:hanging="360" w:left="720" w:right="0"/><w:jc w:val="both"/></w:pP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>Проинформировать своих работников об ответственности за несоблюдение карантинного режима.</w:t></w:r></w:p><w:p><w:pPr><w:pStyle w:val="style0"/><w:keepNext/><w:keepLines w:val="false"/><w:widowControl/><w:numPr><w:ilvl w:val="0"/><w:numId w:val="3"/></w:numPr><w:pBdr></w:pBdr><w:shd w:fill="FFFFFF" w:val="clear"/><w:spacing w:after="0" w:before="0" w:line="100" w:lineRule="atLeast"/><w:ind w:hanging="360" w:left="720" w:right="0"/><w:jc w:val="both"/></w:pP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>Проинформировать своих работников, достигших по состоянию на 20 апреля 2020 года возраста 65 лет (дата рождения 20 апреля 1955 года и ранее), что на период изоляции (с 20 апреля по 30 апреля 2020 года) им будет оформлен электронный листок нетрудоспособности в связи с карантином (код «03») без посещения медицинской организации.</w:t></w:r></w:p><w:p><w:pPr><w:pStyle w:val="style0"/><w:keepNext/><w:keepLines w:val="false"/><w:widowControl/><w:numPr><w:ilvl w:val="0"/><w:numId w:val="3"/></w:numPr><w:pBdr></w:pBdr><w:shd w:fill="FFFFFF" w:val="clear"/><w:spacing w:after="0" w:before="0" w:line="100" w:lineRule="atLeast"/><w:ind w:hanging="360" w:left="720" w:right="0"/><w:jc w:val="both"/></w:pP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 xml:space="preserve">Начиная с 20 апреля 2020 г., в целях оформления работникам, достигшим по состоянию на 20 апреля 2020 года возраста 65 лет электронных листков нетрудоспособности и выплаты им пособия, направить в </w:t></w:r><w:r><w:rPr><w:rFonts w:ascii="Times New Roman" w:cs="Times New Roman" w:eastAsia="Times New Roman" w:hAnsi="Times New Roman"/><w:b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>региональное отделение (филиал регионального отделения) Фонда социального страхования Российской Федерации</w:t></w: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 xml:space="preserve"> по месту регистрации страхователя (далее – Фонд) электронный реестр сведений**, необходимых для назначения и выплаты пособий в общеустановленном порядке. Сведения о медицинском учреждении и реквизиты ЭЛН вносятся в соответствии с нижеприведенными «</w:t></w:r><w:r><w:rPr><w:rFonts w:ascii="Times New Roman" w:cs="Times New Roman" w:eastAsia="Times New Roman" w:hAnsi="Times New Roman"/><w:b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>Особенностями формирования».*</w:t></w:r></w:p><w:p><w:pPr><w:pStyle w:val="style0"/><w:keepNext/><w:keepLines w:val="false"/><w:widowControl/><w:numPr><w:ilvl w:val="0"/><w:numId w:val="3"/></w:numPr><w:pBdr></w:pBdr><w:shd w:fill="FFFFFF" w:val="clear"/><w:spacing w:after="0" w:before="0" w:line="100" w:lineRule="atLeast"/><w:ind w:hanging="360" w:left="720" w:right="0"/><w:jc w:val="both"/></w:pP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</w:r><w:hyperlink r:id="rId2"><w:r><w:rPr><w:rStyle w:val="style17"/><w:rFonts w:ascii="Times New Roman" w:cs="Times New Roman" w:eastAsia="Times New Roman" w:hAnsi="Times New Roman"/><w:b w:val="false"/><w:i w:val="false"/><w:caps w:val="false"/><w:smallCaps w:val="false"/><w:strike w:val="false"/><w:dstrike w:val="false"/><w:color w:val="0000FF"/><w:position w:val="0"/><w:sz w:val="22"/><w:sz w:val="28"/><w:szCs w:val="28"/><w:u w:val="single"/><w:shd w:fill="FFFFFF" w:val="clear"/><w:vertAlign w:val="baseline"/></w:rPr><w:t>https://lk.fss.ru/eln.html</w:t></w:r></w:hyperlink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>.</w:t></w:r></w:p><w:p><w:pPr><w:pStyle w:val="style0"/><w:keepNext/><w:keepLines w:val="false"/><w:widowControl/><w:numPr><w:ilvl w:val="0"/><w:numId w:val="3"/></w:numPr><w:pBdr></w:pBdr><w:shd w:fill="FFFFFF" w:val="clear"/><w:spacing w:after="0" w:before="0" w:line="100" w:lineRule="atLeast"/><w:ind w:hanging="360" w:left="720" w:right="0"/><w:jc w:val="both"/></w:pP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 xml:space="preserve">На основании направленного Работодателем электронного реестра в соответствии с положениями постановлений Правительства Российской Федерации от 16.04.2020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</w:t><w:br/><w:t>№ 402, уполномоченная медицинская организация сформирует ЭЛН, а Фонд осуществит выплату пособия.</w:t></w:r></w:p><w:p><w:pPr><w:pStyle w:val="style0"/><w:keepNext/><w:keepLines w:val="false"/><w:widowControl/><w:numPr><w:ilvl w:val="0"/><w:numId w:val="3"/></w:numPr><w:pBdr></w:pBdr><w:shd w:fill="FFFFFF" w:val="clear"/><w:spacing w:after="0" w:before="0" w:line="100" w:lineRule="atLeast"/><w:ind w:hanging="360" w:left="720" w:right="0"/><w:jc w:val="both"/></w:pP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 xml:space="preserve">Проинформировать работника о возможности получения информации о сумме назначенного пособия и сведениях об электронном листке нетрудоспособности посредством Личного кабинета застрахованного лица, расположенного в сети «Интернет» по адресу: </w:t></w:r><w:hyperlink r:id="rId3"><w:r><w:rPr><w:rStyle w:val="style17"/><w:rFonts w:ascii="Times New Roman" w:cs="Times New Roman" w:eastAsia="Times New Roman" w:hAnsi="Times New Roman"/><w:b w:val="false"/><w:i w:val="false"/><w:caps w:val="false"/><w:smallCaps w:val="false"/><w:strike w:val="false"/><w:dstrike w:val="false"/><w:color w:val="0000FF"/><w:position w:val="0"/><w:sz w:val="22"/><w:sz w:val="28"/><w:szCs w:val="28"/><w:u w:val="single"/><w:shd w:fill="FFFFFF" w:val="clear"/><w:vertAlign w:val="baseline"/></w:rPr><w:t>http://lk.fss.ru/recipient</w:t></w:r></w:hyperlink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FF"/><w:position w:val="0"/><w:sz w:val="22"/><w:sz w:val="28"/><w:szCs w:val="28"/><w:u w:val="single"/><w:shd w:fill="FFFFFF" w:val="clear"/><w:vertAlign w:val="baseline"/></w:rPr><w:t>.</w:t></w:r></w:p><w:p><w:pPr><w:pStyle w:val="style0"/><w:keepNext/><w:keepLines w:val="false"/><w:widowControl/><w:pBdr></w:pBdr><w:shd w:fill="FFFFFF" w:val="clear"/><w:spacing w:after="0" w:before="0" w:line="100" w:lineRule="atLeast"/><w:ind w:hanging="720" w:left="720" w:right="0"/><w:jc w:val="both"/></w:pP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 xml:space="preserve"> </w:t></w:r></w:p><w:p><w:pPr><w:pStyle w:val="style0"/></w:pPr><w:r><w:rPr><w:rFonts w:ascii="Times New Roman" w:cs="Times New Roman" w:eastAsia="Times New Roman" w:hAnsi="Times New Roman"/><w:b/><w:sz w:val="28"/><w:szCs w:val="28"/></w:rPr><w:t>*Особенности формирования и представления страхователем реестра сведений, необходимых для назначения и выплаты пособий по временной нетрудоспособности застрахованным лицам, старше 65 лет</w:t></w:r></w:p><w:p><w:pPr><w:pStyle w:val="style0"/><w:keepNext/><w:keepLines w:val="false"/><w:widowControl/><w:numPr><w:ilvl w:val="0"/><w:numId w:val="2"/></w:numPr><w:pBdr></w:pBdr><w:shd w:fill="FFFFFF" w:val="clear"/><w:spacing w:after="0" w:before="0" w:line="100" w:lineRule="atLeast"/><w:ind w:hanging="357" w:left="714" w:right="0"/><w:jc w:val="both"/></w:pP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 xml:space="preserve">Реестр сведений </w:t></w:r><w:r><w:rPr><w:rFonts w:ascii="Times New Roman" w:cs="Times New Roman" w:eastAsia="Times New Roman" w:hAnsi="Times New Roman"/><w:b/><w:i w:val="false"/><w:caps w:val="false"/><w:smallCaps w:val="false"/><w:strike w:val="false"/><w:dstrike w:val="false"/><w:color w:val="000000"/><w:position w:val="0"/><w:sz w:val="22"/><w:sz w:val="28"/><w:szCs w:val="28"/><w:u w:val="single"/><w:shd w:fill="FFFFFF" w:val="clear"/><w:vertAlign w:val="baseline"/></w:rPr><w:t>не предоставляется</w:t></w: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 xml:space="preserve"> в отношении работников возраста 65 лет и старше, которые в период </w:t></w: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single"/><w:shd w:fill="FFFFFF" w:val="clear"/><w:vertAlign w:val="baseline"/></w:rPr><w:t>с 20 апреля по 30 апреля</w:t></w: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 xml:space="preserve"> 2020 года </w:t></w: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single"/><w:shd w:fill="FFFFFF" w:val="clear"/><w:vertAlign w:val="baseline"/></w:rPr><w:t>находятся в ежегодном оплачиваемом отпуске</w:t></w: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 xml:space="preserve"> или </w:t></w: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single"/><w:shd w:fill="FFFFFF" w:val="clear"/><w:vertAlign w:val="baseline"/></w:rPr><w:t>переведены на дистанционный режим работы.</w:t></w:r></w:p><w:p><w:pPr><w:pStyle w:val="style0"/><w:keepNext/><w:keepLines w:val="false"/><w:widowControl/><w:numPr><w:ilvl w:val="0"/><w:numId w:val="2"/></w:numPr><w:pBdr></w:pBdr><w:shd w:fill="FFFFFF" w:val="clear"/><w:spacing w:after="0" w:before="0" w:line="100" w:lineRule="atLeast"/><w:ind w:hanging="357" w:left="714" w:right="0"/><w:jc w:val="both"/></w:pP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 xml:space="preserve"> </w:t></w: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 xml:space="preserve">В реестр сведений </w:t></w:r><w:r><w:rPr><w:rFonts w:ascii="Times New Roman" w:cs="Times New Roman" w:eastAsia="Times New Roman" w:hAnsi="Times New Roman"/><w:b/><w:i w:val="false"/><w:caps w:val="false"/><w:smallCaps w:val="false"/><w:strike w:val="false"/><w:dstrike w:val="false"/><w:color w:val="000000"/><w:position w:val="0"/><w:sz w:val="22"/><w:sz w:val="28"/><w:szCs w:val="28"/><w:u w:val="single"/><w:shd w:fill="FFFFFF" w:val="clear"/><w:vertAlign w:val="baseline"/></w:rPr><w:t>не включаются</w:t></w: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 xml:space="preserve"> периоды </w:t></w: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single"/><w:shd w:fill="FFFFFF" w:val="clear"/><w:vertAlign w:val="baseline"/></w:rPr><w:t xml:space="preserve">освобождения от работы в связи с временной нетрудоспособностью по другим основаниям </w:t></w: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>(заболевание, травма, карантин по постановлению региональных органов власти, уход за больным членом семьи и т.п.).</w:t></w:r></w:p><w:p><w:pPr><w:pStyle w:val="style0"/><w:keepNext/><w:keepLines w:val="false"/><w:widowControl/><w:numPr><w:ilvl w:val="0"/><w:numId w:val="2"/></w:numPr><w:pBdr></w:pBdr><w:shd w:fill="FFFFFF" w:val="clear"/><w:spacing w:after="0" w:before="0" w:line="100" w:lineRule="atLeast"/><w:ind w:hanging="360" w:left="720" w:right="0"/><w:jc w:val="both"/></w:pP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 xml:space="preserve">В реестр сведений </w:t></w:r><w:r><w:rPr><w:rFonts w:ascii="Times New Roman" w:cs="Times New Roman" w:eastAsia="Times New Roman" w:hAnsi="Times New Roman"/><w:b/><w:i w:val="false"/><w:caps w:val="false"/><w:smallCaps w:val="false"/><w:strike w:val="false"/><w:dstrike w:val="false"/><w:color w:val="000000"/><w:position w:val="0"/><w:sz w:val="22"/><w:sz w:val="28"/><w:szCs w:val="28"/><w:u w:val="single"/><w:shd w:fill="FFFFFF" w:val="clear"/><w:vertAlign w:val="baseline"/></w:rPr><w:t>не включаются</w:t></w: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 xml:space="preserve"> периоды </w:t></w: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single"/><w:shd w:fill="FFFFFF" w:val="clear"/><w:vertAlign w:val="baseline"/></w:rPr><w:t>освобождения от работы в связи с ежегодным отпуском, отпуском без сохранения заработной платы, простоя и в иных случаях</w:t></w: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>, предусмотренных статьей 9</w:t></w: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2"/><w:szCs w:val="22"/><w:u w:val="none"/><w:shd w:fill="FFFFFF" w:val="clear"/><w:vertAlign w:val="baseline"/></w:rPr><w:t xml:space="preserve"> </w:t></w: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>Федерального закона от 29.12.2006 N 255-ФЗ &quot;Об обязательном социальном страховании на случай временной нетрудоспособности и в связи с материнством&quot;.</w:t></w:r></w:p><w:p><w:pPr><w:pStyle w:val="style0"/><w:keepNext/><w:keepLines w:val="false"/><w:widowControl/><w:numPr><w:ilvl w:val="0"/><w:numId w:val="2"/></w:numPr><w:pBdr></w:pBdr><w:shd w:fill="FFFFFF" w:val="clear"/><w:spacing w:after="0" w:before="0" w:line="100" w:lineRule="atLeast"/><w:ind w:hanging="357" w:left="714" w:right="0"/><w:jc w:val="both"/></w:pP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 xml:space="preserve">Реестр сведений заполняется с учетом </w:t></w:r><w:r><w:rPr><w:rFonts w:ascii="Times New Roman" w:cs="Times New Roman" w:eastAsia="Times New Roman" w:hAnsi="Times New Roman"/><w:b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>следующих особенностей:</w:t></w:r></w:p><w:p><w:pPr><w:pStyle w:val="style0"/><w:keepNext/><w:keepLines w:val="false"/><w:widowControl/><w:pBdr></w:pBdr><w:shd w:fill="FFFFFF" w:val="clear"/><w:spacing w:after="0" w:before="0" w:line="100" w:lineRule="atLeast"/><w:ind w:hanging="720" w:left="714" w:right="0"/><w:jc w:val="both"/></w:pPr><w:bookmarkStart w:id="0" w:name="_gjdgxs"/><w:bookmarkStart w:id="1" w:name="_gjdgxs"/><w:bookmarkEnd w:id="1"/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8"/><w:sz w:val="28"/><w:szCs w:val="28"/><w:u w:val="none"/><w:shd w:fill="FFFFFF" w:val="clear"/><w:vertAlign w:val="baseline"/></w:rPr></w:r></w:p><w:tbl><w:tblPr><w:jc w:val="left"/><w:tblInd w:type="dxa" w:w="528"/><w:tblBorders></w:tblBorders></w:tblPr><w:tblGrid><w:gridCol w:w="3032"/><w:gridCol w:w="5780"/></w:tblGrid><w:tr><w:trPr><w:cantSplit w:val="false"/></w:trPr><w:tc><w:tcPr><w:tcW w:type="dxa" w:w="3032"/><w:tcBorders></w:tcBorders><w:shd w:fill="auto" w:val="clear"/><w:tcMar><w:top w:type="dxa" w:w="0"/><w:left w:type="dxa" w:w="108"/><w:bottom w:type="dxa" w:w="0"/><w:right w:type="dxa" w:w="108"/></w:tcMar></w:tcPr><w:p><w:pPr><w:pStyle w:val="style0"/><w:jc w:val="center"/></w:pPr><w:r><w:rPr><w:rFonts w:ascii="Times New Roman" w:cs="Times New Roman" w:eastAsia="Times New Roman" w:hAnsi="Times New Roman"/><w:b/><w:color w:val="000000"/><w:sz w:val="28"/><w:szCs w:val="28"/></w:rPr><w:t>Наименование графы</w:t></w:r></w:p></w:tc><w:tc><w:tcPr><w:tcW w:type="dxa" w:w="5780"/><w:tcBorders></w:tcBorders><w:shd w:fill="auto" w:val="clear"/><w:tcMar><w:top w:type="dxa" w:w="0"/><w:left w:type="dxa" w:w="108"/><w:bottom w:type="dxa" w:w="0"/><w:right w:type="dxa" w:w="108"/></w:tcMar></w:tcPr><w:p><w:pPr><w:pStyle w:val="style0"/><w:jc w:val="center"/></w:pPr><w:r><w:rPr><w:rFonts w:ascii="Times New Roman" w:cs="Times New Roman" w:eastAsia="Times New Roman" w:hAnsi="Times New Roman"/><w:b/><w:color w:val="000000"/><w:sz w:val="28"/><w:szCs w:val="28"/></w:rPr><w:t>Значение показателя</w:t></w:r></w:p></w:tc></w:tr><w:tr><w:trPr><w:cantSplit w:val="false"/></w:trPr><w:tc><w:tcPr><w:tcW w:type="dxa" w:w="3032"/><w:tcBorders></w:tcBorders><w:shd w:fill="9CC3E5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Признак реестра</w:t></w:r></w:p></w:tc><w:tc><w:tcPr><w:tcW w:type="dxa" w:w="5780"/><w:tcBorders><w:right w:color="000001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Первичная информация (0)</w:t></w:r></w:p></w:tc></w:tr><w:tr><w:trPr><w:cantSplit w:val="false"/></w:trPr><w:tc><w:tcPr><w:tcW w:type="dxa" w:w="3032"/><w:tcBorders><w:top w:color="000001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Вид пособия</w:t></w:r></w:p></w:tc><w:tc><w:tcPr><w:tcW w:type="dxa" w:w="5780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Временная нетрудоспособность (1)</w:t></w:r></w:p></w:tc></w:tr><w:tr><w:trPr><w:cantSplit w:val="false"/></w:trPr><w:tc><w:tcPr><w:tcW w:type="dxa" w:w="3032"/><w:tcBorders></w:tcBorders><w:shd w:fill="9CC3E5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Признак периода оплаты</w:t></w:r></w:p></w:tc><w:tc><w:tcPr><w:tcW w:type="dxa" w:w="5780"/><w:tcBorders><w:right w:color="000001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Есть оплата периода, за который начисляется пособие за счет ФСС (1)</w:t></w:r></w:p></w:tc></w:tr><w:tr><w:trPr><w:cantSplit w:val="false"/></w:trPr><w:tc><w:tcPr><w:tcW w:type="dxa" w:w="3032"/><w:tcBorders><w:top w:color="000001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Тип листка</w:t></w:r></w:p></w:tc><w:tc><w:tcPr><w:tcW w:type="dxa" w:w="5780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Электронный (1)</w:t></w:r></w:p></w:tc></w:tr><w:tr><w:trPr><w:cantSplit w:val="false"/></w:trPr><w:tc><w:tcPr><w:tcW w:type="dxa" w:w="3032"/><w:tcBorders></w:tcBorders><w:shd w:fill="9CC3E5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Листок</w:t></w:r></w:p></w:tc><w:tc><w:tcPr><w:tcW w:type="dxa" w:w="5780"/><w:tcBorders><w:right w:color="000001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Первичный (1)</w:t></w:r></w:p></w:tc></w:tr><w:tr><w:trPr><w:cantSplit w:val="false"/></w:trPr><w:tc><w:tcPr><w:tcW w:type="dxa" w:w="3032"/><w:tcBorders><w:top w:color="000001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Наименование МО</w:t></w:r></w:p></w:tc><w:tc><w:tcPr><w:tcW w:type="dxa" w:w="5780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УПОЛНОМОЧЕННАЯ МЕДИЦИНСКАЯ ОРГАНИЗАЦИЯ</w:t></w:r></w:p></w:tc></w:tr><w:tr><w:trPr><w:cantSplit w:val="false"/></w:trPr><w:tc><w:tcPr><w:tcW w:type="dxa" w:w="3032"/><w:tcBorders></w:tcBorders><w:shd w:fill="9CC3E5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ОГРН МО</w:t></w:r></w:p></w:tc><w:tc><w:tcPr><w:tcW w:type="dxa" w:w="5780"/><w:tcBorders><w:right w:color="000001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0000000000000 (проставляется цифра 0 тринадцать раз)</w:t></w:r></w:p></w:tc></w:tr><w:tr><w:trPr><w:cantSplit w:val="false"/></w:trPr><w:tc><w:tcPr><w:tcW w:type="dxa" w:w="3032"/><w:tcBorders><w:top w:color="000001" w:space="0" w:sz="4" w:val="single"/></w:tcBorders><w:shd w:fill="9CC3E5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color w:val="FF0000"/><w:sz w:val="28"/><w:szCs w:val="28"/></w:rPr><w:t>Номер листка</w:t></w:r></w:p></w:tc><w:tc><w:tcPr><w:tcW w:type="dxa" w:w="5780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color w:val="FF0000"/><w:sz w:val="28"/><w:szCs w:val="28"/></w:rPr><w:t>999010000000</w:t></w:r></w:p></w:tc></w:tr><w:tr><w:trPr><w:cantSplit w:val="false"/></w:trPr><w:tc><w:tcPr><w:tcW w:type="dxa" w:w="3032"/><w:tcBorders><w:top w:color="000001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Причина нетрудоспособности</w:t></w:r></w:p></w:tc><w:tc><w:tcPr><w:tcW w:type="dxa" w:w="5780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03</w:t></w:r></w:p></w:tc></w:tr><w:tr><w:trPr><w:cantSplit w:val="false"/></w:trPr><w:tc><w:tcPr><w:tcW w:type="dxa" w:w="3032"/><w:tcBorders><w:top w:color="000001" w:space="0" w:sz="4" w:val="single"/></w:tcBorders><w:shd w:fill="9CC3E5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color w:val="FF0000"/><w:sz w:val="28"/><w:szCs w:val="28"/></w:rPr><w:t>Дата выдачи</w:t></w:r></w:p></w:tc><w:tc><w:tcPr><w:tcW w:type="dxa" w:w="5780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color w:val="FF0000"/><w:sz w:val="28"/><w:szCs w:val="28"/></w:rPr><w:t>20.04.2020</w:t></w:r></w:p></w:tc></w:tr><w:tr><w:trPr><w:cantSplit w:val="false"/></w:trPr><w:tc><w:tcPr><w:tcW w:type="dxa" w:w="3032"/><w:tcBorders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color w:val="FF0000"/><w:sz w:val="28"/><w:szCs w:val="28"/></w:rPr><w:t>Период нетрудоспособности</w:t></w:r></w:p></w:tc><w:tc><w:tcPr><w:tcW w:type="dxa" w:w="5780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FFFFFF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color w:val="FF0000"/><w:sz w:val="28"/><w:szCs w:val="28"/></w:rPr><w:t>с 20.04.2020 по 30.04.2020</w:t></w:r></w:p></w:tc></w:tr><w:tr><w:trPr><w:cantSplit w:val="false"/></w:trPr><w:tc><w:tcPr><w:tcW w:type="dxa" w:w="3032"/><w:tcBorders><w:top w:color="000001" w:space="0" w:sz="4" w:val="single"/></w:tcBorders><w:shd w:fill="9CC3E5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Должность врача</w:t></w:r></w:p></w:tc><w:tc><w:tcPr><w:tcW w:type="dxa" w:w="5780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ВРАЧ</w:t></w:r></w:p></w:tc></w:tr><w:tr><w:trPr><w:cantSplit w:val="false"/></w:trPr><w:tc><w:tcPr><w:tcW w:type="dxa" w:w="3032"/><w:tcBorders><w:top w:color="000001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ФИО врача</w:t></w:r></w:p></w:tc><w:tc><w:tcPr><w:tcW w:type="dxa" w:w="5780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sz w:val="28"/><w:szCs w:val="28"/></w:rPr><w:t>УП. ВРАЧ</w:t></w:r></w:p></w:tc></w:tr><w:tr><w:trPr><w:cantSplit w:val="false"/></w:trPr><w:tc><w:tcPr><w:tcW w:type="dxa" w:w="3032"/><w:tcBorders><w:top w:color="000001" w:space="0" w:sz="4" w:val="single"/></w:tcBorders><w:shd w:fill="9CC3E5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color w:val="FF0000"/><w:sz w:val="28"/><w:szCs w:val="28"/></w:rPr><w:t>Приступить к работе</w:t></w:r></w:p></w:tc><w:tc><w:tcPr><w:tcW w:type="dxa" w:w="5780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jc w:val="both"/></w:pPr><w:r><w:rPr><w:rFonts w:ascii="Times New Roman" w:cs="Times New Roman" w:eastAsia="Times New Roman" w:hAnsi="Times New Roman"/><w:color w:val="FF0000"/><w:sz w:val="28"/><w:szCs w:val="28"/></w:rPr><w:t>01.05.2020</w:t></w:r></w:p></w:tc></w:tr></w:tbl><w:p><w:pPr><w:pStyle w:val="style0"/><w:keepNext/><w:keepLines w:val="false"/><w:widowControl/><w:numPr><w:ilvl w:val="0"/><w:numId w:val="2"/></w:numPr><w:pBdr></w:pBdr><w:shd w:fill="FFFFFF" w:val="clear"/><w:spacing w:after="160" w:before="120" w:line="256" w:lineRule="auto"/><w:ind w:hanging="357" w:left="714" w:right="0"/><w:jc w:val="both"/></w:pPr><w:r><w:rPr><w:rFonts w:ascii="Times New Roman" w:cs="Times New Roman" w:eastAsia="Times New Roman" w:hAnsi="Times New Roman"/><w:b w:val="false"/><w:i w:val="false"/><w:caps w:val="false"/><w:smallCaps w:val="false"/><w:strike w:val="false"/><w:dstrike w:val="false"/><w:color w:val="000000"/><w:position w:val="0"/><w:sz w:val="22"/><w:sz w:val="28"/><w:szCs w:val="28"/><w:u w:val="none"/><w:shd w:fill="FFFFFF" w:val="clear"/><w:vertAlign w:val="baseline"/></w:rPr><w:t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21 апреля 2011 г. № 294.</w:t></w:r></w:p><w:p><w:pPr><w:pStyle w:val="style0"/><w:spacing w:after="160" w:before="120" w:line="100" w:lineRule="atLeast"/><w:jc w:val="both"/></w:pPr><w:r><w:rPr><w:rFonts w:ascii="Times New Roman" w:cs="Times New Roman" w:eastAsia="Times New Roman" w:hAnsi="Times New Roman"/><w:sz w:val="28"/><w:szCs w:val="28"/></w:rPr></w:r></w:p><w:p><w:pPr><w:pStyle w:val="style0"/><w:spacing w:after="160" w:before="120" w:line="100" w:lineRule="atLeast"/><w:jc w:val="both"/></w:pPr><w:r><w:rPr><w:rFonts w:ascii="Times New Roman" w:cs="Times New Roman" w:eastAsia="Times New Roman" w:hAnsi="Times New Roman"/><w:sz w:val="28"/><w:szCs w:val="28"/></w:rPr></w:r></w:p><w:p><w:pPr><w:pStyle w:val="style0"/><w:ind w:firstLine="708" w:left="708" w:right="0"/><w:jc w:val="both"/></w:pPr><w:r><w:rPr><w:rFonts w:ascii="Times New Roman" w:cs="Times New Roman" w:eastAsia="Times New Roman" w:hAnsi="Times New Roman"/><w:b/><w:sz w:val="28"/><w:szCs w:val="28"/></w:rPr><w:t>** ОТВЕТСТВЕННОСТЬ СТРАХОВАТЕЛЯ</w:t></w:r></w:p><w:p><w:pPr><w:pStyle w:val="style0"/><w:ind w:firstLine="708" w:left="708" w:right="0"/><w:jc w:val="both"/></w:pPr><w:r><w:rPr><w:rFonts w:ascii="Times New Roman" w:cs="Times New Roman" w:eastAsia="Times New Roman" w:hAnsi="Times New Roman"/><w:b/><w:i/><w:sz w:val="28"/><w:szCs w:val="28"/></w:rPr>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</w:r><w:bookmarkStart w:id="2" w:name="30j0zll"/><w:bookmarkEnd w:id="2"/><w:r><w:rPr><w:rFonts w:ascii="Times New Roman" w:cs="Times New Roman" w:eastAsia="Times New Roman" w:hAnsi="Times New Roman"/><w:b/><w:i/><w:color w:val="333333"/><w:sz w:val="28"/><w:szCs w:val="28"/></w:rPr>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</w:r></w:p><w:p><w:pPr><w:pStyle w:val="style0"/><w:ind w:firstLine="708" w:left="708" w:right="0"/><w:jc w:val="both"/></w:pPr><w:r><w:rPr><w:rFonts w:ascii="Times New Roman" w:cs="Times New Roman" w:eastAsia="Times New Roman" w:hAnsi="Times New Roman"/><w:b/><w:i/><w:color w:val="333333"/><w:sz w:val="28"/><w:szCs w:val="28"/></w:rPr>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</w:r><w:r><w:rPr><w:rFonts w:ascii="Times New Roman" w:cs="Times New Roman" w:eastAsia="Times New Roman" w:hAnsi="Times New Roman"/><w:b/><w:i/><w:sz w:val="28"/><w:szCs w:val="28"/></w:rPr><w:t>в </w:t></w:r><w:r><w:fldChar w:fldCharType="begin"></w:fldChar></w:r><w:r><w:instrText> HYPERLINK &quot;http://www.consultant.ru/document/cons_doc_LAW_340325/4734407fbf4d5eec5306840f8b75b994e5d57090/&quot; \l &quot;dst100091&quot;</w:instrText></w:r><w:r><w:fldChar w:fldCharType="separate"/></w:r><w:r><w:rPr><w:rStyle w:val="style17"/><w:rFonts w:ascii="Times New Roman" w:cs="Times New Roman" w:eastAsia="Times New Roman" w:hAnsi="Times New Roman"/><w:b/><w:i/><w:sz w:val="28"/><w:szCs w:val="28"/></w:rPr><w:t>порядке</w:t></w:r><w:r><w:fldChar w:fldCharType="end"/></w:r></w:hyperlink><w:r><w:rPr><w:rFonts w:ascii="Times New Roman" w:cs="Times New Roman" w:eastAsia="Times New Roman" w:hAnsi="Times New Roman"/><w:b/><w:i/><w:sz w:val="28"/><w:szCs w:val="28"/></w:rPr><w:t xml:space="preserve">, </w:t></w:r><w:r><w:rPr><w:rFonts w:ascii="Times New Roman" w:cs="Times New Roman" w:eastAsia="Times New Roman" w:hAnsi="Times New Roman"/><w:b/><w:i/><w:color w:val="333333"/><w:sz w:val="28"/><w:szCs w:val="28"/></w:rPr><w:t>установленном законодательством Российской Федерации.</w:t></w:r></w:p><w:p><w:pPr><w:pStyle w:val="style0"/><w:spacing w:after="160" w:before="120" w:line="100" w:lineRule="atLeast"/><w:jc w:val="both"/></w:pPr><w:r><w:rPr></w:rPr></w:r></w:p><w:sectPr><w:type w:val="nextPage"/><w:pgSz w:h="16838" w:w="11906"/><w:pgMar w:bottom="567" w:footer="0" w:gutter="0" w:header="0" w:left="1418" w:right="851" w:top="851"/><w:pgNumType w:fmt="decimal"/><w:formProt w:val="false"/><w:textDirection w:val="lrTb"/><w:docGrid w:charSpace="4096" w:linePitch="240" w:type="default"/></w:sectPr></w:body>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/>
    </w:lvl>
    <w:lvl w:ilvl="1">
      <w:start w:val="1"/>
      <w:numFmt w:val="decimal"/>
      <w:lvlText w:val="%1.%2."/>
      <w:lvlJc w:val="left"/>
      <w:pPr>
        <w:ind w:hanging="720" w:left="1440"/>
      </w:pPr>
      <w:rPr>
        <w:u w:val="single"/>
      </w:rPr>
    </w:lvl>
    <w:lvl w:ilvl="2">
      <w:start w:val="1"/>
      <w:numFmt w:val="decimal"/>
      <w:lvlText w:val="%1.%2.%3."/>
      <w:lvlJc w:val="left"/>
      <w:pPr>
        <w:ind w:hanging="720" w:left="1800"/>
      </w:pPr>
      <w:rPr>
        <w:u w:val="single"/>
      </w:rPr>
    </w:lvl>
    <w:lvl w:ilvl="3">
      <w:start w:val="1"/>
      <w:numFmt w:val="decimal"/>
      <w:lvlText w:val="%1.%2.%3.%4."/>
      <w:lvlJc w:val="left"/>
      <w:pPr>
        <w:ind w:hanging="1080" w:left="25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hanging="1080" w:left="28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hanging="1440" w:left="360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hanging="1800" w:left="432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hanging="1800" w:left="468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hanging="2160" w:left="5400"/>
      </w:pPr>
      <w:rPr>
        <w:u w:val="single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20" w:val="left"/>
      </w:tabs>
      <w:suppressAutoHyphens w:val="true"/>
      <w:spacing w:after="160" w:before="0" w:line="256" w:lineRule="auto"/>
    </w:pPr>
    <w:rPr>
      <w:rFonts w:ascii="Calibri" w:cs="Calibri" w:eastAsia="Calibri" w:hAnsi="Calibri"/>
      <w:color w:val="auto"/>
      <w:sz w:val="22"/>
      <w:szCs w:val="22"/>
      <w:lang w:bidi="hi-IN" w:eastAsia="zh-CN" w:val="ru-RU"/>
    </w:rPr>
  </w:style>
  <w:style w:styleId="style1" w:type="paragraph">
    <w:name w:val="Заголовок 1"/>
    <w:basedOn w:val="style23"/>
    <w:next w:val="style19"/>
    <w:pPr>
      <w:keepNext/>
      <w:keepLines/>
      <w:numPr>
        <w:ilvl w:val="0"/>
        <w:numId w:val="1"/>
      </w:numPr>
      <w:spacing w:after="120" w:before="480" w:line="100" w:lineRule="atLeast"/>
      <w:outlineLvl w:val="0"/>
    </w:pPr>
    <w:rPr>
      <w:b/>
      <w:sz w:val="48"/>
      <w:szCs w:val="48"/>
    </w:rPr>
  </w:style>
  <w:style w:styleId="style2" w:type="paragraph">
    <w:name w:val="Заголовок 2"/>
    <w:basedOn w:val="style23"/>
    <w:next w:val="style19"/>
    <w:pPr>
      <w:keepNext/>
      <w:keepLines/>
      <w:numPr>
        <w:ilvl w:val="1"/>
        <w:numId w:val="1"/>
      </w:numPr>
      <w:spacing w:after="80" w:before="360" w:line="100" w:lineRule="atLeast"/>
      <w:outlineLvl w:val="1"/>
    </w:pPr>
    <w:rPr>
      <w:b/>
      <w:sz w:val="36"/>
      <w:szCs w:val="36"/>
    </w:rPr>
  </w:style>
  <w:style w:styleId="style3" w:type="paragraph">
    <w:name w:val="Заголовок 3"/>
    <w:basedOn w:val="style23"/>
    <w:next w:val="style19"/>
    <w:pPr>
      <w:keepNext/>
      <w:keepLines/>
      <w:numPr>
        <w:ilvl w:val="2"/>
        <w:numId w:val="1"/>
      </w:numPr>
      <w:spacing w:after="80" w:before="280" w:line="100" w:lineRule="atLeast"/>
      <w:outlineLvl w:val="2"/>
    </w:pPr>
    <w:rPr>
      <w:b/>
      <w:sz w:val="28"/>
      <w:szCs w:val="28"/>
    </w:rPr>
  </w:style>
  <w:style w:styleId="style4" w:type="paragraph">
    <w:name w:val="Заголовок 4"/>
    <w:basedOn w:val="style23"/>
    <w:next w:val="style19"/>
    <w:pPr>
      <w:keepNext/>
      <w:keepLines/>
      <w:numPr>
        <w:ilvl w:val="3"/>
        <w:numId w:val="1"/>
      </w:numPr>
      <w:spacing w:after="40" w:before="240" w:line="100" w:lineRule="atLeast"/>
      <w:outlineLvl w:val="3"/>
    </w:pPr>
    <w:rPr>
      <w:b/>
      <w:sz w:val="24"/>
      <w:szCs w:val="24"/>
    </w:rPr>
  </w:style>
  <w:style w:styleId="style5" w:type="paragraph">
    <w:name w:val="Заголовок 5"/>
    <w:basedOn w:val="style23"/>
    <w:next w:val="style19"/>
    <w:pPr>
      <w:keepNext/>
      <w:keepLines/>
      <w:numPr>
        <w:ilvl w:val="4"/>
        <w:numId w:val="1"/>
      </w:numPr>
      <w:spacing w:after="40" w:before="220" w:line="100" w:lineRule="atLeast"/>
      <w:outlineLvl w:val="4"/>
    </w:pPr>
    <w:rPr>
      <w:b/>
      <w:sz w:val="22"/>
      <w:szCs w:val="22"/>
    </w:rPr>
  </w:style>
  <w:style w:styleId="style6" w:type="paragraph">
    <w:name w:val="Заголовок 6"/>
    <w:basedOn w:val="style23"/>
    <w:next w:val="style19"/>
    <w:pPr>
      <w:keepNext/>
      <w:keepLines/>
      <w:numPr>
        <w:ilvl w:val="5"/>
        <w:numId w:val="1"/>
      </w:numPr>
      <w:spacing w:after="40" w:before="200" w:line="100" w:lineRule="atLeast"/>
      <w:outlineLvl w:val="5"/>
    </w:pPr>
    <w:rPr>
      <w:b/>
      <w:sz w:val="20"/>
      <w:szCs w:val="20"/>
    </w:rPr>
  </w:style>
  <w:style w:styleId="style15" w:type="character">
    <w:name w:val="ListLabel 1"/>
    <w:next w:val="style15"/>
    <w:rPr>
      <w:rFonts w:cs="Times New Roman" w:eastAsia="Times New Roman"/>
    </w:rPr>
  </w:style>
  <w:style w:styleId="style16" w:type="character">
    <w:name w:val="ListLabel 2"/>
    <w:next w:val="style16"/>
    <w:rPr>
      <w:u w:val="single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"/>
    <w:next w:val="style23"/>
    <w:pPr>
      <w:widowControl/>
      <w:tabs>
        <w:tab w:leader="none" w:pos="720" w:val="left"/>
      </w:tabs>
      <w:suppressAutoHyphens w:val="true"/>
      <w:spacing w:after="160" w:before="0" w:line="256" w:lineRule="auto"/>
    </w:pPr>
    <w:rPr>
      <w:rFonts w:ascii="Calibri" w:cs="Calibri" w:eastAsia="Calibri" w:hAnsi="Calibri"/>
      <w:color w:val="auto"/>
      <w:sz w:val="22"/>
      <w:szCs w:val="22"/>
      <w:lang w:bidi="hi-IN" w:eastAsia="zh-CN" w:val="ru-RU"/>
    </w:rPr>
  </w:style>
  <w:style w:styleId="style24" w:type="paragraph">
    <w:name w:val="Заглавие"/>
    <w:basedOn w:val="style23"/>
    <w:next w:val="style25"/>
    <w:pPr>
      <w:keepNext/>
      <w:keepLines/>
      <w:spacing w:after="120" w:before="480" w:line="100" w:lineRule="atLeast"/>
      <w:jc w:val="center"/>
    </w:pPr>
    <w:rPr>
      <w:b/>
      <w:bCs/>
      <w:sz w:val="72"/>
      <w:szCs w:val="72"/>
    </w:rPr>
  </w:style>
  <w:style w:styleId="style25" w:type="paragraph">
    <w:name w:val="Подзаголовок"/>
    <w:basedOn w:val="style23"/>
    <w:next w:val="style19"/>
    <w:pPr>
      <w:keepNext/>
      <w:keepLines/>
      <w:spacing w:after="80" w:before="360" w:line="100" w:lineRule="atLeast"/>
      <w:jc w:val="center"/>
    </w:pPr>
    <w:rPr>
      <w:rFonts w:ascii="Georgia" w:cs="Georgia" w:eastAsia="Georgia" w:hAnsi="Georgia"/>
      <w:i/>
      <w:iCs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k.fss.ru/eln.html" TargetMode="External"/><Relationship Id="rId3" Type="http://schemas.openxmlformats.org/officeDocument/2006/relationships/hyperlink" Target="http://lk.fss.ru/recipien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